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bookmarkStart w:id="0" w:name="_Hlt449016246"/>
      <w:bookmarkEnd w:id="0"/>
      <w:bookmarkStart w:id="1" w:name="_Hlt450039480"/>
      <w:bookmarkEnd w:id="1"/>
      <w:bookmarkStart w:id="2" w:name="_Hlt450051172"/>
      <w:bookmarkEnd w:id="2"/>
      <w:bookmarkStart w:id="3" w:name="_Hlt450066085"/>
      <w:bookmarkEnd w:id="3"/>
      <w:bookmarkStart w:id="4" w:name="_Hlt448930105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0607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Style w:val="62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2"/>
          <w:rFonts w:hint="eastAsia"/>
          <w:b/>
          <w:highlight w:val="none"/>
          <w:lang w:val="en-US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eastAsia"/>
          <w:b/>
          <w:highlight w:val="none"/>
          <w:lang w:val="pt-BR" w:eastAsia="zh-CN"/>
        </w:rPr>
      </w:pPr>
      <w:r>
        <w:rPr>
          <w:rStyle w:val="62"/>
          <w:rFonts w:hint="eastAsia"/>
          <w:b/>
          <w:highlight w:val="none"/>
          <w:lang w:val="pt-BR" w:eastAsia="zh-CN"/>
        </w:rPr>
        <w:t>Document for:</w:t>
      </w:r>
      <w:r>
        <w:rPr>
          <w:rStyle w:val="62"/>
          <w:rFonts w:hint="eastAsia"/>
          <w:b/>
          <w:highlight w:val="none"/>
          <w:lang w:val="pt-BR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8"/>
      <w:bookmarkStart w:id="7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2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2"/>
          <w:rFonts w:hint="eastAsia"/>
          <w:b/>
          <w:highlight w:val="none"/>
          <w:lang w:val="en-US" w:eastAsia="zh-CN"/>
        </w:rPr>
        <w:t xml:space="preserve"> coexistence study based on ITU regulations for NR NTN Ku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Style w:val="62"/>
          <w:rFonts w:hint="eastAsia"/>
          <w:b/>
          <w:highlight w:val="none"/>
          <w:lang w:val="pt-BR" w:eastAsia="zh-CN"/>
        </w:rPr>
        <w:t>Agenda item:</w:t>
      </w:r>
      <w:r>
        <w:rPr>
          <w:rStyle w:val="62"/>
          <w:rFonts w:hint="eastAsia"/>
          <w:b/>
          <w:highlight w:val="none"/>
          <w:lang w:val="pt-BR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7.11.2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106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Ku Band for NR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for NR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 NTN Ku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system parameters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iCs/>
                <w:sz w:val="20"/>
                <w:szCs w:val="20"/>
                <w:highlight w:val="none"/>
              </w:rPr>
              <w:t>The objectives are: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Use the regulation requirements in ITU Regions 1, 2 and 3 to identify relevant adjacent band co-existence scenarios for NTN Ku Band covering the following frequency ranges, considering targeted deployment scenarios: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For ITU regions 1 and 3: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For ITU regions 2</w:t>
            </w:r>
            <w:r>
              <w:rPr>
                <w:sz w:val="20"/>
                <w:szCs w:val="20"/>
                <w:highlight w:val="none"/>
              </w:rPr>
              <w:t xml:space="preserve"> (The US is in scope for the WI using the current allocation of the Ku band. The band introduction in specification is pending FCC decision)</w:t>
            </w:r>
            <w:r>
              <w:rPr>
                <w:bCs/>
                <w:sz w:val="20"/>
                <w:szCs w:val="20"/>
                <w:highlight w:val="none"/>
              </w:rPr>
              <w:t>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For ITU regions 1 and 3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Uplink 12.75 - 13.25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For ITU regions 2 </w:t>
            </w:r>
            <w:r>
              <w:rPr>
                <w:sz w:val="20"/>
                <w:szCs w:val="20"/>
                <w:highlight w:val="none"/>
              </w:rPr>
              <w:t>(The US is in scope for the WI using the current allocation of the Ku band. The band introduction in specification is pending FCC decision):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Uplink 12.70 - 13.25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Note: Appropriate Tx/Rx separation for uplink downlink pairing will be required.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Conduct coexistence study. Reuse Ka band coexistence study assumptions as much as possible, with modifications where necessary, e.g. for coexistence scenario, frequency range and subcarrier spacing. Conduct new co-existence studies based on adjacent services.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>Specify RF requirements for mobile VSAT served by NGSO and GSO based on existing mobile VSAT type 5 RF requirements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Investigate and if possible specify common FR1 and FR2 radiated RF requirements for Satellite Access Node (SAN) and NTN VSAT types (excluding types 1 to 3) in 38.101-5 also considering existing regulations on antenna sizes for certain parts of the Ku band.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Priority 1: for all ITU regions, define Ku band #1a and #1b for the downlink block and uplink block B. D</w:t>
            </w:r>
            <w:r>
              <w:rPr>
                <w:rFonts w:hint="eastAsia"/>
                <w:sz w:val="20"/>
                <w:szCs w:val="20"/>
                <w:highlight w:val="none"/>
                <w:lang w:eastAsia="zh-TW"/>
              </w:rPr>
              <w:t>efine two sets of bands, one for FR1 numerology and the other for FR2 numerology, including the support of the following: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Ku band #1a and #1b as FR1-NTN supporting</w:t>
            </w:r>
            <w:r>
              <w:rPr>
                <w:rFonts w:hint="eastAsia"/>
                <w:sz w:val="20"/>
                <w:szCs w:val="20"/>
                <w:highlight w:val="none"/>
                <w:lang w:eastAsia="zh-TW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  <w:t>10 MHz</w:t>
            </w:r>
            <w:r>
              <w:rPr>
                <w:rFonts w:hint="eastAsia"/>
                <w:sz w:val="20"/>
                <w:szCs w:val="20"/>
                <w:highlight w:val="none"/>
                <w:lang w:eastAsia="zh-TW"/>
              </w:rPr>
              <w:t>,</w:t>
            </w:r>
            <w:r>
              <w:rPr>
                <w:sz w:val="20"/>
                <w:szCs w:val="20"/>
                <w:highlight w:val="none"/>
              </w:rPr>
              <w:t xml:space="preserve"> 20 MHz, 25 MHz, 35 MHz, 50 MHz, 70 MHz and 100 MHz channel bandwidths with 30 kHz subcarrier spacing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Ku band #1a and #1b as FR2-NTN supporting 50 MHz, 100 MHz, 200 MHz, 400 MHz (120kHz SCS only) channel bandwidths with 120 kHz subcarrier spacing</w:t>
            </w:r>
            <w:r>
              <w:rPr>
                <w:sz w:val="20"/>
                <w:szCs w:val="20"/>
                <w:highlight w:val="none"/>
                <w:lang w:eastAsia="zh-TW"/>
              </w:rPr>
              <w:t>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Priority 2: for all ITU regions excluding the US in region 2, using the approach in Priority 1, define Ku band #2a and #2b as appropriate for the downlink block and uplink block A.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Specify RRM requirements including timing requirements for mobile VSAT served by NGSO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NOTE:</w:t>
            </w:r>
            <w:r>
              <w:rPr>
                <w:sz w:val="20"/>
                <w:szCs w:val="20"/>
                <w:highlight w:val="none"/>
              </w:rPr>
              <w:tab/>
            </w:r>
            <w:r>
              <w:rPr>
                <w:sz w:val="20"/>
                <w:szCs w:val="20"/>
                <w:highlight w:val="none"/>
              </w:rPr>
              <w:t>RRM requirements are defined for VSAT supporting FR1-NTN operation only, or for FR2-NTN operation only.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RAN#107 checkpoint: Depending on the feedback from RAN1 and RAN2 on the LS in R4-2419902, further WID updates may be needed to address feedback on specifying bands for both FR1-NTN numerology and FR2-NTN numerology or for other issues such as support for a single SCS per frequency band.</w:t>
            </w:r>
          </w:p>
          <w:p>
            <w:pPr>
              <w:pStyle w:val="35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last few meetings, we almost defined all simulation assumptions for Ku band coexistence study. There is a detail about TN UE antenna pattern needs to be further checked.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Sub-topic 2-9: TN BS/UE antenna patterns for 11 GHz</w:t>
            </w:r>
          </w:p>
          <w:p>
            <w:pPr>
              <w:keepNext/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>Agree to use TN BS and UE antenna and beam forming pattern modelling in TS 38.921 for 11GHz carrier frequency for Ku band coexistence study</w:t>
            </w:r>
          </w:p>
          <w:p>
            <w:pPr>
              <w:keepNext/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hint="default" w:ascii="Times New Roman" w:hAnsi="Times New Roman" w:eastAsia="PMingLiU" w:cs="Times New Roman"/>
                <w:sz w:val="20"/>
                <w:szCs w:val="20"/>
                <w:lang w:val="en-US" w:eastAsia="zh-TW"/>
              </w:rPr>
            </w:pPr>
          </w:p>
          <w:p>
            <w:pPr>
              <w:pStyle w:val="4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TW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Sub-topic 2-10: TN BS antenna pattern for 14 GHz</w:t>
            </w:r>
          </w:p>
          <w:p>
            <w:pPr>
              <w:keepNext/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>Agree to use TN BS antenna and beam forming pattern modelling in TS 38.92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Times New Roman" w:eastAsia="PMingLiU" w:cs="Times New Roman"/>
                <w:sz w:val="20"/>
                <w:szCs w:val="20"/>
                <w:lang w:eastAsia="zh-TW"/>
              </w:rPr>
              <w:t xml:space="preserve"> for 14GHz carrier frequency for Ku band coexistence study. For TN UE, the isotropic antenna model will be used as mentioned in TS 38.922.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above are agreements reached in last meeting [2]. For 11GHz, </w:t>
      </w:r>
      <w:r>
        <w:rPr>
          <w:rFonts w:hint="eastAsia" w:eastAsia="宋体"/>
          <w:lang w:val="en-US" w:eastAsia="zh-CN"/>
        </w:rPr>
        <w:t>t</w:t>
      </w:r>
      <w:r>
        <w:rPr>
          <w:rFonts w:eastAsia="MS Mincho"/>
          <w:lang w:eastAsia="ja-JP"/>
        </w:rPr>
        <w:t xml:space="preserve">he </w:t>
      </w:r>
      <w:r>
        <w:rPr>
          <w:rFonts w:hint="eastAsia" w:eastAsia="宋体"/>
          <w:lang w:val="en-US" w:eastAsia="zh-CN"/>
        </w:rPr>
        <w:t xml:space="preserve">TN </w:t>
      </w:r>
      <w:r>
        <w:rPr>
          <w:rFonts w:hint="eastAsia"/>
          <w:lang w:val="en-US"/>
        </w:rPr>
        <w:t>UE</w:t>
      </w:r>
      <w:r>
        <w:rPr>
          <w:rFonts w:eastAsia="MS Mincho"/>
          <w:lang w:eastAsia="ja-JP"/>
        </w:rPr>
        <w:t xml:space="preserve"> antenna is</w:t>
      </w:r>
      <w:r>
        <w:rPr>
          <w:rFonts w:hint="eastAsia" w:eastAsia="宋体"/>
          <w:lang w:val="en-US" w:eastAsia="zh-CN"/>
        </w:rPr>
        <w:t xml:space="preserve"> assumed as</w:t>
      </w:r>
      <w:r>
        <w:rPr>
          <w:rFonts w:hint="eastAsia"/>
          <w:lang w:val="en-US"/>
        </w:rPr>
        <w:t xml:space="preserve"> </w:t>
      </w:r>
      <w:r>
        <w:t>isotropic radiation pattern antenna and no beamforming</w:t>
      </w:r>
      <w:r>
        <w:rPr>
          <w:rFonts w:hint="eastAsia"/>
          <w:lang w:val="en-US" w:eastAsia="zh-CN"/>
        </w:rPr>
        <w:t xml:space="preserve"> since UE in 11GHz may have a conducted interface with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FR1 like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requirements</w:t>
      </w:r>
      <w:r>
        <w:rPr>
          <w:rFonts w:hint="eastAsia"/>
          <w:lang w:val="en-US"/>
        </w:rPr>
        <w:t>.</w:t>
      </w:r>
      <w:r>
        <w:rPr>
          <w:rFonts w:hint="eastAsia"/>
          <w:lang w:val="en-US" w:eastAsia="zh-CN"/>
        </w:rPr>
        <w:t xml:space="preserve"> While for 14GHz, it provides two </w:t>
      </w:r>
      <w:r>
        <w:rPr>
          <w:rFonts w:hint="eastAsia"/>
          <w:lang w:eastAsia="ja-JP"/>
        </w:rPr>
        <w:t>UE antenna element pattern</w:t>
      </w:r>
      <w:r>
        <w:rPr>
          <w:rFonts w:hint="eastAsia"/>
          <w:lang w:val="en-US" w:eastAsia="zh-CN"/>
        </w:rPr>
        <w:t xml:space="preserve"> assumptions: </w:t>
      </w:r>
      <w:r>
        <w:rPr>
          <w:lang w:eastAsia="ja-JP"/>
        </w:rPr>
        <w:t>FR1 like</w:t>
      </w:r>
      <w:r>
        <w:rPr>
          <w:rFonts w:hint="eastAsia"/>
          <w:lang w:val="en-US" w:eastAsia="zh-CN"/>
        </w:rPr>
        <w:t xml:space="preserve"> and FR2 like, which is as follows. To simplify the coexistence simulation, we propose to assume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FR1 like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antenna pattern with </w:t>
      </w:r>
      <w:r>
        <w:t>isotropic radiation pattern antenna and no beamforming</w:t>
      </w:r>
      <w:r>
        <w:rPr>
          <w:rFonts w:hint="eastAsia"/>
          <w:lang w:val="en-US" w:eastAsia="zh-CN"/>
        </w:rPr>
        <w:t xml:space="preserve"> for 14GHz.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We propose to assume </w:t>
      </w:r>
      <w:r>
        <w:rPr>
          <w:rFonts w:hint="default"/>
          <w:b/>
          <w:bCs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FR1 like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 xml:space="preserve"> antenna pattern with isotropic radiation pattern antenna and no beamforming for TN UE in 11GHz and 14GHz.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6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ind w:leftChars="0" w:right="0" w:rightChars="0"/>
              <w:textAlignment w:val="baseline"/>
              <w:rPr>
                <w:sz w:val="20"/>
                <w:szCs w:val="20"/>
                <w:lang w:eastAsia="ja-JP"/>
              </w:rPr>
            </w:pPr>
            <w:bookmarkStart w:id="8" w:name="_Toc180759203"/>
            <w:bookmarkStart w:id="9" w:name="_Toc98750630"/>
            <w:bookmarkStart w:id="10" w:name="_Toc494384420"/>
            <w:r>
              <w:rPr>
                <w:sz w:val="20"/>
                <w:szCs w:val="20"/>
                <w:lang w:eastAsia="ja-JP"/>
              </w:rPr>
              <w:t>6.1</w:t>
            </w:r>
            <w:r>
              <w:rPr>
                <w:rFonts w:hint="eastAsia"/>
                <w:sz w:val="20"/>
                <w:szCs w:val="20"/>
                <w:lang w:eastAsia="ja-JP"/>
              </w:rPr>
              <w:t>.2.3.3</w:t>
            </w:r>
            <w:r>
              <w:rPr>
                <w:rFonts w:eastAsia="宋体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  <w:lang w:eastAsia="ja-JP"/>
              </w:rPr>
              <w:tab/>
            </w:r>
            <w:r>
              <w:rPr>
                <w:rFonts w:hint="eastAsia"/>
                <w:sz w:val="20"/>
                <w:szCs w:val="20"/>
                <w:lang w:eastAsia="ja-JP"/>
              </w:rPr>
              <w:t>UE antenna element pattern</w:t>
            </w:r>
            <w:bookmarkEnd w:id="8"/>
            <w:bookmarkEnd w:id="9"/>
            <w:bookmarkEnd w:id="10"/>
          </w:p>
          <w:p>
            <w:pPr>
              <w:pStyle w:val="7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ind w:leftChars="0" w:right="0" w:rightChars="0"/>
              <w:textAlignment w:val="baseline"/>
              <w:outlineLvl w:val="5"/>
              <w:rPr>
                <w:sz w:val="20"/>
                <w:szCs w:val="20"/>
                <w:lang w:eastAsia="ja-JP"/>
              </w:rPr>
            </w:pPr>
            <w:bookmarkStart w:id="11" w:name="_Toc180759204"/>
            <w:r>
              <w:rPr>
                <w:sz w:val="20"/>
                <w:szCs w:val="20"/>
                <w:lang w:eastAsia="ja-JP"/>
              </w:rPr>
              <w:t>6.1</w:t>
            </w:r>
            <w:r>
              <w:rPr>
                <w:rFonts w:hint="eastAsia"/>
                <w:sz w:val="20"/>
                <w:szCs w:val="20"/>
                <w:lang w:eastAsia="ja-JP"/>
              </w:rPr>
              <w:t>.2.3.</w:t>
            </w:r>
            <w:r>
              <w:rPr>
                <w:sz w:val="20"/>
                <w:szCs w:val="20"/>
                <w:lang w:eastAsia="ja-JP"/>
              </w:rPr>
              <w:t>3</w:t>
            </w:r>
            <w:r>
              <w:rPr>
                <w:rFonts w:hint="eastAsia"/>
                <w:sz w:val="20"/>
                <w:szCs w:val="20"/>
                <w:lang w:eastAsia="ja-JP"/>
              </w:rPr>
              <w:t>.1</w:t>
            </w:r>
            <w:r>
              <w:rPr>
                <w:rFonts w:eastAsia="宋体"/>
                <w:sz w:val="20"/>
                <w:szCs w:val="20"/>
              </w:rPr>
              <w:tab/>
            </w:r>
            <w:r>
              <w:rPr>
                <w:sz w:val="20"/>
                <w:szCs w:val="20"/>
                <w:lang w:eastAsia="ja-JP"/>
              </w:rPr>
              <w:t>FR1 like</w:t>
            </w:r>
            <w:bookmarkEnd w:id="11"/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 this approach, a UE will most likely have a conducted interface with an assumed isotropic radiation pattern antenna with [0 or 5] dB receive diversity gain and no beamforming.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ja-JP"/>
              </w:rPr>
            </w:pPr>
          </w:p>
          <w:p>
            <w:pPr>
              <w:pStyle w:val="7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ind w:leftChars="0" w:right="0" w:rightChars="0"/>
              <w:textAlignment w:val="baseline"/>
              <w:outlineLvl w:val="5"/>
              <w:rPr>
                <w:sz w:val="20"/>
                <w:szCs w:val="20"/>
                <w:lang w:eastAsia="ja-JP"/>
              </w:rPr>
            </w:pPr>
            <w:bookmarkStart w:id="12" w:name="_Toc180759205"/>
            <w:r>
              <w:rPr>
                <w:sz w:val="20"/>
                <w:szCs w:val="20"/>
                <w:lang w:eastAsia="ja-JP"/>
              </w:rPr>
              <w:t>6.1</w:t>
            </w:r>
            <w:r>
              <w:rPr>
                <w:rFonts w:hint="eastAsia"/>
                <w:sz w:val="20"/>
                <w:szCs w:val="20"/>
                <w:lang w:eastAsia="ja-JP"/>
              </w:rPr>
              <w:t>.2.3.</w:t>
            </w:r>
            <w:r>
              <w:rPr>
                <w:sz w:val="20"/>
                <w:szCs w:val="20"/>
                <w:lang w:eastAsia="ja-JP"/>
              </w:rPr>
              <w:t>3</w:t>
            </w:r>
            <w:r>
              <w:rPr>
                <w:rFonts w:hint="eastAsia"/>
                <w:sz w:val="20"/>
                <w:szCs w:val="20"/>
                <w:lang w:eastAsia="ja-JP"/>
              </w:rPr>
              <w:t>.</w:t>
            </w:r>
            <w:r>
              <w:rPr>
                <w:sz w:val="20"/>
                <w:szCs w:val="20"/>
                <w:lang w:eastAsia="ja-JP"/>
              </w:rPr>
              <w:t>2</w:t>
            </w:r>
            <w:r>
              <w:rPr>
                <w:rFonts w:eastAsia="宋体"/>
                <w:sz w:val="20"/>
                <w:szCs w:val="20"/>
              </w:rPr>
              <w:tab/>
            </w:r>
            <w:r>
              <w:rPr>
                <w:sz w:val="20"/>
                <w:szCs w:val="20"/>
                <w:lang w:eastAsia="ja-JP"/>
              </w:rPr>
              <w:t>FR2 like</w:t>
            </w:r>
            <w:bookmarkEnd w:id="12"/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ko-KR"/>
              </w:rPr>
              <w:t xml:space="preserve">Table </w:t>
            </w:r>
            <w:r>
              <w:rPr>
                <w:sz w:val="20"/>
                <w:szCs w:val="20"/>
                <w:lang w:eastAsia="ja-JP"/>
              </w:rPr>
              <w:t>6.1</w:t>
            </w:r>
            <w:r>
              <w:rPr>
                <w:rFonts w:hint="eastAsia"/>
                <w:sz w:val="20"/>
                <w:szCs w:val="20"/>
                <w:lang w:eastAsia="ja-JP"/>
              </w:rPr>
              <w:t>.2.3.3</w:t>
            </w:r>
            <w:r>
              <w:rPr>
                <w:sz w:val="20"/>
                <w:szCs w:val="20"/>
                <w:lang w:eastAsia="ja-JP"/>
              </w:rPr>
              <w:t>.2</w:t>
            </w:r>
            <w:r>
              <w:rPr>
                <w:rFonts w:hint="eastAsia"/>
                <w:sz w:val="20"/>
                <w:szCs w:val="20"/>
                <w:lang w:eastAsia="ja-JP"/>
              </w:rPr>
              <w:t>-1</w:t>
            </w:r>
            <w:r>
              <w:rPr>
                <w:sz w:val="20"/>
                <w:szCs w:val="20"/>
                <w:lang w:eastAsia="ko-KR"/>
              </w:rPr>
              <w:t xml:space="preserve">: </w:t>
            </w:r>
            <w:r>
              <w:rPr>
                <w:rFonts w:hint="eastAsia"/>
                <w:sz w:val="20"/>
                <w:szCs w:val="20"/>
                <w:lang w:eastAsia="ja-JP"/>
              </w:rPr>
              <w:t>UE</w:t>
            </w:r>
            <w:r>
              <w:rPr>
                <w:sz w:val="20"/>
                <w:szCs w:val="20"/>
                <w:lang w:eastAsia="ko-KR"/>
              </w:rPr>
              <w:t xml:space="preserve"> antenna element pattern</w:t>
            </w:r>
          </w:p>
          <w:tbl>
            <w:tblPr>
              <w:tblStyle w:val="24"/>
              <w:tblW w:w="978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0"/>
              <w:gridCol w:w="749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2" w:hRule="atLeast"/>
                <w:jc w:val="center"/>
              </w:trPr>
              <w:tc>
                <w:tcPr>
                  <w:tcW w:w="2290" w:type="dxa"/>
                  <w:shd w:val="clear" w:color="auto" w:fill="E0E0E0"/>
                  <w:vAlign w:val="center"/>
                </w:tcPr>
                <w:p>
                  <w:pPr>
                    <w:pStyle w:val="6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Parameter</w:t>
                  </w:r>
                </w:p>
              </w:tc>
              <w:tc>
                <w:tcPr>
                  <w:tcW w:w="7495" w:type="dxa"/>
                  <w:shd w:val="clear" w:color="auto" w:fill="E0E0E0"/>
                  <w:vAlign w:val="center"/>
                </w:tcPr>
                <w:p>
                  <w:pPr>
                    <w:pStyle w:val="6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Values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24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Antenna element vertical radiation pattern (dB)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rPr>
                      <w:rFonts w:eastAsia="宋体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E,V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θ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″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)=−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min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Name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/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12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/>
                                                <w:rPr>
                                                  <w:rFonts w:ascii="Cambria Math"/>
                                                  <w:sz w:val="20"/>
                                                  <w:szCs w:val="20"/>
                                                </w:rPr>
                                                <m:t>θ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e>
                                            <m:sup>
                                              <m:r>
                                                <m:rPr/>
                                                <w:rPr>
                                                  <w:rFonts w:ascii="Cambria Math"/>
                                                  <w:sz w:val="20"/>
                                                  <w:szCs w:val="20"/>
                                                </w:rPr>
                                                <m:t>″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up>
                                          </m:sSup>
                                          <m:r>
                                            <m:rPr/>
                                            <w:rPr>
                                              <w:rFonts w:ascii="Cambria Math"/>
                                              <w:sz w:val="20"/>
                                              <w:szCs w:val="20"/>
                                            </w:rPr>
                                            <m:t>−90°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/>
                                                <w:rPr>
                                                  <w:rFonts w:ascii="Cambria Math"/>
                                                  <w:sz w:val="20"/>
                                                  <w:szCs w:val="20"/>
                                                </w:rPr>
                                                <m:t>θ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/>
                                                  <w:b w:val="0"/>
                                                  <w:i w:val="0"/>
                                                  <w:sz w:val="20"/>
                                                  <w:szCs w:val="20"/>
                                                </w:rPr>
                                                <m:t>3dB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ub>
                                          </m:sSub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den>
                                      </m:f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,SL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V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</m:func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θ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/>
                              <w:b w:val="0"/>
                              <w:i w:val="0"/>
                              <w:sz w:val="20"/>
                              <w:szCs w:val="20"/>
                            </w:rPr>
                            <m:t>3dB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=90°,SL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V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=25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Cambria Math"/>
                          <w:b w:val="0"/>
                          <w:i w:val="0"/>
                          <w:sz w:val="20"/>
                          <w:szCs w:val="20"/>
                        </w:rPr>
                        <m:t>dB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9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Antenna element horizontal radiation pattern (dB)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E,H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ϕ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″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)=−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min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Name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/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12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/>
                                                <w:rPr>
                                                  <w:rFonts w:ascii="Cambria Math"/>
                                                  <w:sz w:val="20"/>
                                                  <w:szCs w:val="20"/>
                                                </w:rPr>
                                                <m:t>ϕ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e>
                                            <m:sup>
                                              <m:r>
                                                <m:rPr/>
                                                <w:rPr>
                                                  <w:rFonts w:ascii="Cambria Math"/>
                                                  <w:sz w:val="20"/>
                                                  <w:szCs w:val="20"/>
                                                </w:rPr>
                                                <m:t>″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up>
                                          </m:sSup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/>
                                                <w:rPr>
                                                  <w:rFonts w:ascii="Cambria Math"/>
                                                  <w:sz w:val="20"/>
                                                  <w:szCs w:val="20"/>
                                                </w:rPr>
                                                <m:t>ϕ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/>
                                                  <w:b w:val="0"/>
                                                  <w:i w:val="0"/>
                                                  <w:sz w:val="20"/>
                                                  <w:szCs w:val="20"/>
                                                </w:rPr>
                                                <m:t>3dB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ub>
                                          </m:sSub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den>
                                      </m:f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</m:func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ϕ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/>
                              <w:b w:val="0"/>
                              <w:i w:val="0"/>
                              <w:sz w:val="20"/>
                              <w:szCs w:val="20"/>
                            </w:rPr>
                            <m:t>3dB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=90°,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=25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Cambria Math"/>
                          <w:b w:val="0"/>
                          <w:i w:val="0"/>
                          <w:sz w:val="20"/>
                          <w:szCs w:val="20"/>
                        </w:rPr>
                        <m:t>dB</m:t>
                      </m:r>
                    </m:oMath>
                  </m:oMathPara>
                </w:p>
                <w:p>
                  <w:pPr>
                    <w:pStyle w:val="59"/>
                    <w:rPr>
                      <w:rFonts w:eastAsia="宋体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78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Combining method for 3D antenna element pattern (dB)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rPr>
                      <w:rFonts w:eastAsia="宋体"/>
                      <w:sz w:val="20"/>
                      <w:szCs w:val="20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″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θ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″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ϕ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″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/>
                          <w:sz w:val="20"/>
                          <w:szCs w:val="20"/>
                        </w:rPr>
                        <m:t>)=−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/>
                            <w:rPr>
                              <w:rFonts w:ascii="Cambria Math"/>
                              <w:sz w:val="20"/>
                              <w:szCs w:val="20"/>
                            </w:rPr>
                            <m:t>min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Name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/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−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/>
                                          <w:sz w:val="20"/>
                                          <w:szCs w:val="20"/>
                                        </w:rPr>
                                        <m:t>A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/>
                                          <w:sz w:val="20"/>
                                          <w:szCs w:val="20"/>
                                        </w:rPr>
                                        <m:t>E,V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/>
                                            <w:rPr>
                                              <w:rFonts w:ascii="Cambria Math"/>
                                              <w:sz w:val="20"/>
                                              <w:szCs w:val="20"/>
                                            </w:rPr>
                                            <m:t>θ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e>
                                        <m:sup>
                                          <m:r>
                                            <m:rPr/>
                                            <w:rPr>
                                              <w:rFonts w:ascii="Cambria Math"/>
                                              <w:sz w:val="20"/>
                                              <w:szCs w:val="20"/>
                                            </w:rPr>
                                            <m:t>″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up>
                                      </m:sSup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d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/>
                                          <w:sz w:val="20"/>
                                          <w:szCs w:val="20"/>
                                        </w:rPr>
                                        <m:t>A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/>
                                          <w:sz w:val="20"/>
                                          <w:szCs w:val="20"/>
                                        </w:rPr>
                                        <m:t>E,H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/>
                                            <w:rPr>
                                              <w:rFonts w:ascii="Cambria Math"/>
                                              <w:sz w:val="20"/>
                                              <w:szCs w:val="20"/>
                                            </w:rPr>
                                            <m:t>ϕ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e>
                                        <m:sup>
                                          <m:r>
                                            <m:rPr/>
                                            <w:rPr>
                                              <w:rFonts w:ascii="Cambria Math"/>
                                              <w:sz w:val="20"/>
                                              <w:szCs w:val="20"/>
                                            </w:rPr>
                                            <m:t>″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up>
                                      </m:sSup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d>
                              <m:r>
                                <m:rPr/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e>
                      </m:func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1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Maximum directional gain of an antenna element </w:t>
                  </w:r>
                  <w:r>
                    <w:rPr>
                      <w:i/>
                      <w:sz w:val="20"/>
                      <w:szCs w:val="20"/>
                    </w:rPr>
                    <w:t>G</w:t>
                  </w:r>
                  <w:r>
                    <w:rPr>
                      <w:i/>
                      <w:sz w:val="20"/>
                      <w:szCs w:val="20"/>
                      <w:vertAlign w:val="subscript"/>
                    </w:rPr>
                    <w:t>E,max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rPr>
                      <w:rFonts w:eastAsia="宋体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ja-JP"/>
                    </w:rPr>
                    <w:t>5</w:t>
                  </w:r>
                  <w:r>
                    <w:rPr>
                      <w:rFonts w:eastAsia="宋体"/>
                      <w:sz w:val="20"/>
                      <w:szCs w:val="20"/>
                    </w:rPr>
                    <w:t xml:space="preserve"> dBi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1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(M</w:t>
                  </w:r>
                  <w:r>
                    <w:rPr>
                      <w:rFonts w:hint="eastAsia"/>
                      <w:sz w:val="20"/>
                      <w:szCs w:val="20"/>
                      <w:vertAlign w:val="subscript"/>
                      <w:lang w:eastAsia="ja-JP"/>
                    </w:rPr>
                    <w:t>g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, N</w:t>
                  </w:r>
                  <w:r>
                    <w:rPr>
                      <w:rFonts w:hint="eastAsia"/>
                      <w:sz w:val="20"/>
                      <w:szCs w:val="20"/>
                      <w:vertAlign w:val="subscript"/>
                      <w:lang w:eastAsia="ja-JP"/>
                    </w:rPr>
                    <w:t>g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 xml:space="preserve">, M, N, P) 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 xml:space="preserve"> (1, 1, </w:t>
                  </w:r>
                  <w:r>
                    <w:rPr>
                      <w:sz w:val="20"/>
                      <w:szCs w:val="20"/>
                      <w:lang w:eastAsia="ja-JP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 xml:space="preserve">, </w:t>
                  </w:r>
                  <w:r>
                    <w:rPr>
                      <w:sz w:val="20"/>
                      <w:szCs w:val="20"/>
                      <w:lang w:eastAsia="ja-JP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, 2)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1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(d</w:t>
                  </w:r>
                  <w:r>
                    <w:rPr>
                      <w:rFonts w:hint="eastAsia"/>
                      <w:sz w:val="20"/>
                      <w:szCs w:val="20"/>
                      <w:vertAlign w:val="subscript"/>
                      <w:lang w:eastAsia="ja-JP"/>
                    </w:rPr>
                    <w:t>v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, d</w:t>
                  </w:r>
                  <w:r>
                    <w:rPr>
                      <w:rFonts w:hint="eastAsia"/>
                      <w:sz w:val="20"/>
                      <w:szCs w:val="20"/>
                      <w:vertAlign w:val="subscript"/>
                      <w:lang w:eastAsia="ja-JP"/>
                    </w:rPr>
                    <w:t>h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)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sz w:val="20"/>
                      <w:szCs w:val="20"/>
                      <w:lang w:eastAsia="ja-JP"/>
                    </w:rPr>
                    <w:t>(0.5λ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 xml:space="preserve">, </w:t>
                  </w:r>
                  <w:r>
                    <w:rPr>
                      <w:sz w:val="20"/>
                      <w:szCs w:val="20"/>
                      <w:lang w:eastAsia="ja-JP"/>
                    </w:rPr>
                    <w:t>0.5λ</w:t>
                  </w:r>
                  <w:r>
                    <w:rPr>
                      <w:rFonts w:hint="eastAsia"/>
                      <w:sz w:val="20"/>
                      <w:szCs w:val="20"/>
                      <w:lang w:eastAsia="ja-JP"/>
                    </w:rPr>
                    <w:t>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1" w:hRule="atLeast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>
                  <w:pPr>
                    <w:pStyle w:val="60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sz w:val="20"/>
                      <w:szCs w:val="20"/>
                      <w:lang w:val="en-US" w:eastAsia="ja-JP"/>
                    </w:rPr>
                    <w:t>UE orientation</w:t>
                  </w:r>
                </w:p>
              </w:tc>
              <w:tc>
                <w:tcPr>
                  <w:tcW w:w="7495" w:type="dxa"/>
                  <w:vAlign w:val="center"/>
                </w:tcPr>
                <w:p>
                  <w:pPr>
                    <w:pStyle w:val="59"/>
                    <w:ind w:left="-56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sz w:val="20"/>
                      <w:szCs w:val="20"/>
                      <w:lang w:val="en-US" w:eastAsia="ja-JP"/>
                    </w:rPr>
                    <w:t>Random orientation in the azimuth domain: uniformly distributed between -90 and 90 degrees*</w:t>
                  </w:r>
                </w:p>
                <w:p>
                  <w:pPr>
                    <w:pStyle w:val="59"/>
                    <w:ind w:left="-56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sz w:val="20"/>
                      <w:szCs w:val="20"/>
                      <w:lang w:val="en-US" w:eastAsia="ja-JP"/>
                    </w:rPr>
                    <w:t>Fixed elevation: 90 degrees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1" w:hRule="atLeast"/>
                <w:jc w:val="center"/>
              </w:trPr>
              <w:tc>
                <w:tcPr>
                  <w:tcW w:w="9785" w:type="dxa"/>
                  <w:gridSpan w:val="2"/>
                  <w:shd w:val="clear" w:color="auto" w:fill="auto"/>
                  <w:vAlign w:val="center"/>
                </w:tcPr>
                <w:p>
                  <w:pPr>
                    <w:pStyle w:val="72"/>
                    <w:rPr>
                      <w:sz w:val="20"/>
                      <w:szCs w:val="20"/>
                      <w:lang w:eastAsia="ja-JP"/>
                    </w:rPr>
                  </w:pPr>
                  <w:r>
                    <w:rPr>
                      <w:sz w:val="20"/>
                      <w:szCs w:val="20"/>
                      <w:lang w:eastAsia="ja-JP"/>
                    </w:rPr>
                    <w:t>NOTE:</w:t>
                  </w:r>
                  <w:r>
                    <w:rPr>
                      <w:rFonts w:eastAsia="宋体"/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  <w:lang w:eastAsia="ja-JP"/>
                    </w:rPr>
                    <w:t>This is done to emulate two panels: the configuration is equivalent to 2 panels with 180 shift in horizontal orientation and UE orientation uniformly distributed in the azimuth domain between -180 and 180 degrees.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/>
          <w:bCs/>
          <w:sz w:val="20"/>
          <w:szCs w:val="20"/>
          <w:lang w:val="en-US" w:eastAsia="zh-CN"/>
        </w:rPr>
      </w:pP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In addition, based on the agreed simulation assumptions, we share the preliminary simulation result for scenario 1, in which we assume </w:t>
      </w:r>
      <w:r>
        <w:rPr>
          <w:rFonts w:hint="default"/>
          <w:b w:val="0"/>
          <w:bCs w:val="0"/>
          <w:sz w:val="20"/>
          <w:szCs w:val="20"/>
          <w:lang w:val="en-US" w:eastAsia="zh-CN"/>
        </w:rPr>
        <w:t>“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>FR1 like</w:t>
      </w:r>
      <w:r>
        <w:rPr>
          <w:rFonts w:hint="default"/>
          <w:b w:val="0"/>
          <w:bCs w:val="0"/>
          <w:sz w:val="20"/>
          <w:szCs w:val="20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 xml:space="preserve"> antenna pattern for TN UE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. 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default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default" w:cs="Times New Roman"/>
          <w:b w:val="0"/>
          <w:bCs w:val="0"/>
          <w:sz w:val="20"/>
          <w:szCs w:val="20"/>
          <w:lang w:val="en-US" w:eastAsia="zh-CN"/>
        </w:rPr>
        <w:drawing>
          <wp:inline distT="0" distB="0" distL="114300" distR="114300">
            <wp:extent cx="3203575" cy="2710180"/>
            <wp:effectExtent l="0" t="0" r="12065" b="254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/>
                  </pic:blipFill>
                  <pic:spPr>
                    <a:xfrm>
                      <a:off x="0" y="0"/>
                      <a:ext cx="3203575" cy="271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default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Figure 2.1: Preliminary simulation result for scenario 1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coexistence study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bookmarkStart w:id="13" w:name="_GoBack"/>
      <w:r>
        <w:rPr>
          <w:rFonts w:hint="eastAsia"/>
          <w:b/>
          <w:bCs/>
          <w:sz w:val="20"/>
          <w:szCs w:val="20"/>
          <w:lang w:val="en-US" w:eastAsia="zh-CN"/>
        </w:rPr>
        <w:t xml:space="preserve">Proposal 1: We propose to assume </w:t>
      </w:r>
      <w:r>
        <w:rPr>
          <w:rFonts w:hint="default"/>
          <w:b/>
          <w:bCs/>
          <w:sz w:val="20"/>
          <w:szCs w:val="20"/>
          <w:lang w:val="en-US" w:eastAsia="zh-CN"/>
        </w:rPr>
        <w:t>“</w:t>
      </w:r>
      <w:r>
        <w:rPr>
          <w:rFonts w:hint="eastAsia"/>
          <w:b/>
          <w:bCs/>
          <w:sz w:val="20"/>
          <w:szCs w:val="20"/>
          <w:lang w:val="en-US" w:eastAsia="zh-CN"/>
        </w:rPr>
        <w:t>FR1 like</w:t>
      </w:r>
      <w:r>
        <w:rPr>
          <w:rFonts w:hint="default"/>
          <w:b/>
          <w:bCs/>
          <w:sz w:val="20"/>
          <w:szCs w:val="20"/>
          <w:lang w:val="en-US" w:eastAsia="zh-CN"/>
        </w:rPr>
        <w:t>”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antenna pattern with isotropic radiation pattern antenna and no beamforming for TN UE in 11GHz and 14GHz.</w:t>
      </w:r>
    </w:p>
    <w:bookmarkEnd w:id="13"/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RP-243314, Revised WID: Introduction of Ku bands for NR NTN, Intelsat et al.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lang w:val="en-US" w:eastAsia="zh-CN"/>
        </w:rPr>
        <w:t>R4-241</w:t>
      </w:r>
      <w:r>
        <w:rPr>
          <w:rFonts w:hint="eastAsia"/>
          <w:color w:val="auto"/>
          <w:lang w:val="en-US" w:eastAsia="zh-CN"/>
        </w:rPr>
        <w:t>9909, Way Forward for [112][313] NR_NTN_Ku_Band_General, Moderator (Eutelsat Group)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2F73E4B"/>
    <w:multiLevelType w:val="multilevel"/>
    <w:tmpl w:val="12F73E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9">
    <w:nsid w:val="78A93F85"/>
    <w:multiLevelType w:val="multilevel"/>
    <w:tmpl w:val="78A93F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2E51A4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C3BAD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24EBD"/>
    <w:rsid w:val="03036B01"/>
    <w:rsid w:val="03052298"/>
    <w:rsid w:val="03073BDC"/>
    <w:rsid w:val="030A6B04"/>
    <w:rsid w:val="030B0647"/>
    <w:rsid w:val="030B2860"/>
    <w:rsid w:val="030C40C1"/>
    <w:rsid w:val="030D2F0B"/>
    <w:rsid w:val="030E7406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8D22BA"/>
    <w:rsid w:val="03951AE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64296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D184A"/>
    <w:rsid w:val="063F63E4"/>
    <w:rsid w:val="06460B91"/>
    <w:rsid w:val="0654187C"/>
    <w:rsid w:val="065475DE"/>
    <w:rsid w:val="06556C03"/>
    <w:rsid w:val="066469F3"/>
    <w:rsid w:val="06676354"/>
    <w:rsid w:val="066E5330"/>
    <w:rsid w:val="06782F84"/>
    <w:rsid w:val="067C28D6"/>
    <w:rsid w:val="068A55C2"/>
    <w:rsid w:val="068E06BC"/>
    <w:rsid w:val="069201CB"/>
    <w:rsid w:val="06956E2E"/>
    <w:rsid w:val="06A32763"/>
    <w:rsid w:val="06AC7765"/>
    <w:rsid w:val="06B62C91"/>
    <w:rsid w:val="06B741D9"/>
    <w:rsid w:val="06B756E7"/>
    <w:rsid w:val="06C457B6"/>
    <w:rsid w:val="06C62F02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14B38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5270A8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DA12FD"/>
    <w:rsid w:val="08E916DF"/>
    <w:rsid w:val="08F473EA"/>
    <w:rsid w:val="08FC0AA5"/>
    <w:rsid w:val="090E2F35"/>
    <w:rsid w:val="091B4FFA"/>
    <w:rsid w:val="091E3FB1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7D1872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C3929"/>
    <w:rsid w:val="0A9D54CD"/>
    <w:rsid w:val="0A9E3D3D"/>
    <w:rsid w:val="0A9F39CF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97A67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038A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BC557C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1552B"/>
    <w:rsid w:val="0EA40C1C"/>
    <w:rsid w:val="0EA55D13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03A52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C41AE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1D3E7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53CCB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548A1"/>
    <w:rsid w:val="12E706B5"/>
    <w:rsid w:val="12EE5106"/>
    <w:rsid w:val="12F777F2"/>
    <w:rsid w:val="1307341C"/>
    <w:rsid w:val="130C40FE"/>
    <w:rsid w:val="130E3629"/>
    <w:rsid w:val="13116666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00D91"/>
    <w:rsid w:val="139D3156"/>
    <w:rsid w:val="13A11AE0"/>
    <w:rsid w:val="13A50F41"/>
    <w:rsid w:val="13A825CD"/>
    <w:rsid w:val="13AA2682"/>
    <w:rsid w:val="13AA5FA1"/>
    <w:rsid w:val="13C20262"/>
    <w:rsid w:val="13D024B3"/>
    <w:rsid w:val="13D115EF"/>
    <w:rsid w:val="13D85E46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3020"/>
    <w:rsid w:val="14AA71CB"/>
    <w:rsid w:val="14AC0C32"/>
    <w:rsid w:val="14AF626F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4FD424C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9E5304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B0783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BC6868"/>
    <w:rsid w:val="1AC03C10"/>
    <w:rsid w:val="1AC5112F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1368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94767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27905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0145"/>
    <w:rsid w:val="1FC658C9"/>
    <w:rsid w:val="1FCE593C"/>
    <w:rsid w:val="1FD40891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6EB8"/>
    <w:rsid w:val="21567D84"/>
    <w:rsid w:val="2158101C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E82E34"/>
    <w:rsid w:val="21F00127"/>
    <w:rsid w:val="21F7745C"/>
    <w:rsid w:val="22035C75"/>
    <w:rsid w:val="221D2FA3"/>
    <w:rsid w:val="2226635F"/>
    <w:rsid w:val="22284EE2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9D39A2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63709"/>
    <w:rsid w:val="24197365"/>
    <w:rsid w:val="241B5C62"/>
    <w:rsid w:val="242318E8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00B42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6F6848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3233E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055D9"/>
    <w:rsid w:val="276621B4"/>
    <w:rsid w:val="276D111F"/>
    <w:rsid w:val="2778582E"/>
    <w:rsid w:val="27806765"/>
    <w:rsid w:val="27821DE7"/>
    <w:rsid w:val="27832596"/>
    <w:rsid w:val="278C1620"/>
    <w:rsid w:val="278C7493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A049D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7C1D44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2F09CF"/>
    <w:rsid w:val="2A30548D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311B9"/>
    <w:rsid w:val="2C44676A"/>
    <w:rsid w:val="2C495C38"/>
    <w:rsid w:val="2C4A080C"/>
    <w:rsid w:val="2C4E77B9"/>
    <w:rsid w:val="2C54533B"/>
    <w:rsid w:val="2C591378"/>
    <w:rsid w:val="2C627BCA"/>
    <w:rsid w:val="2C722F9A"/>
    <w:rsid w:val="2C797A76"/>
    <w:rsid w:val="2C8B6C0E"/>
    <w:rsid w:val="2C8F4862"/>
    <w:rsid w:val="2C9E5AC8"/>
    <w:rsid w:val="2CA05674"/>
    <w:rsid w:val="2CA2721B"/>
    <w:rsid w:val="2CAC6075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8C7E13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160D20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0AF9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36CC2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04D74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C725D1"/>
    <w:rsid w:val="36D51D00"/>
    <w:rsid w:val="36D66B5E"/>
    <w:rsid w:val="36D86634"/>
    <w:rsid w:val="36DE4AF9"/>
    <w:rsid w:val="36E410A4"/>
    <w:rsid w:val="36E93760"/>
    <w:rsid w:val="36EA26AB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10BC9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47A52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535ED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722D0B"/>
    <w:rsid w:val="39872512"/>
    <w:rsid w:val="39A602F9"/>
    <w:rsid w:val="39BD45C8"/>
    <w:rsid w:val="39C2316A"/>
    <w:rsid w:val="39E5018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36E74"/>
    <w:rsid w:val="3B552653"/>
    <w:rsid w:val="3B5A2A22"/>
    <w:rsid w:val="3B707794"/>
    <w:rsid w:val="3B7804A3"/>
    <w:rsid w:val="3B8E00A7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6F7188"/>
    <w:rsid w:val="3C734413"/>
    <w:rsid w:val="3C7A6E5A"/>
    <w:rsid w:val="3C8869CA"/>
    <w:rsid w:val="3C982C18"/>
    <w:rsid w:val="3CA734F8"/>
    <w:rsid w:val="3CA95F71"/>
    <w:rsid w:val="3CB33ABD"/>
    <w:rsid w:val="3CB93B04"/>
    <w:rsid w:val="3CC16893"/>
    <w:rsid w:val="3CC74223"/>
    <w:rsid w:val="3CC828D0"/>
    <w:rsid w:val="3CCB43BE"/>
    <w:rsid w:val="3CCC5925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23536A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867082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16327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14C59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7D59BD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E558F"/>
    <w:rsid w:val="419E60D3"/>
    <w:rsid w:val="419F0889"/>
    <w:rsid w:val="41A25332"/>
    <w:rsid w:val="41A339F5"/>
    <w:rsid w:val="41A36C7E"/>
    <w:rsid w:val="41AA4A84"/>
    <w:rsid w:val="41AF06D0"/>
    <w:rsid w:val="41B35C6F"/>
    <w:rsid w:val="41C45B38"/>
    <w:rsid w:val="41C93F6C"/>
    <w:rsid w:val="41D5139D"/>
    <w:rsid w:val="41D75714"/>
    <w:rsid w:val="41DD3BC3"/>
    <w:rsid w:val="41E535F4"/>
    <w:rsid w:val="41E7736F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D587F"/>
    <w:rsid w:val="42DE0FF8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40E36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DD0CE5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5F0253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B0C21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7044C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4F3103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933B0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11054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14888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10402F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1289"/>
    <w:rsid w:val="4E9D29FB"/>
    <w:rsid w:val="4EA30DB6"/>
    <w:rsid w:val="4EA7341F"/>
    <w:rsid w:val="4EB35A3D"/>
    <w:rsid w:val="4EC37EC2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47A23"/>
    <w:rsid w:val="50560460"/>
    <w:rsid w:val="50601A5C"/>
    <w:rsid w:val="507055F2"/>
    <w:rsid w:val="507E1B25"/>
    <w:rsid w:val="50811B94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C254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7C441D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15DFD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CB6789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07796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832FC"/>
    <w:rsid w:val="568B1DB1"/>
    <w:rsid w:val="56A55214"/>
    <w:rsid w:val="56A67978"/>
    <w:rsid w:val="56AC63C5"/>
    <w:rsid w:val="56C1700B"/>
    <w:rsid w:val="56C56513"/>
    <w:rsid w:val="56CF48FB"/>
    <w:rsid w:val="56D1299C"/>
    <w:rsid w:val="56D25618"/>
    <w:rsid w:val="56D5675C"/>
    <w:rsid w:val="56D7464D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15416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AF67E26"/>
    <w:rsid w:val="5B0A4D6B"/>
    <w:rsid w:val="5B13462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00020"/>
    <w:rsid w:val="5BB20B74"/>
    <w:rsid w:val="5BB33170"/>
    <w:rsid w:val="5BC677D8"/>
    <w:rsid w:val="5BD0669E"/>
    <w:rsid w:val="5BE14134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1F52A2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56B70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A7D57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BA4C20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CA6734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BF362E"/>
    <w:rsid w:val="60C302BA"/>
    <w:rsid w:val="60C30855"/>
    <w:rsid w:val="60C338B1"/>
    <w:rsid w:val="60D4742F"/>
    <w:rsid w:val="60D67C80"/>
    <w:rsid w:val="60D95276"/>
    <w:rsid w:val="60E06DEB"/>
    <w:rsid w:val="60E51841"/>
    <w:rsid w:val="60FC0DE3"/>
    <w:rsid w:val="61054D71"/>
    <w:rsid w:val="61110088"/>
    <w:rsid w:val="611647A0"/>
    <w:rsid w:val="61366935"/>
    <w:rsid w:val="61421EFD"/>
    <w:rsid w:val="614F6F7E"/>
    <w:rsid w:val="615C5041"/>
    <w:rsid w:val="61640524"/>
    <w:rsid w:val="61651BD7"/>
    <w:rsid w:val="616D27A1"/>
    <w:rsid w:val="617A6EE7"/>
    <w:rsid w:val="617B616B"/>
    <w:rsid w:val="6182260C"/>
    <w:rsid w:val="618C446A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3D3D0E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2299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0277AA"/>
    <w:rsid w:val="6327422B"/>
    <w:rsid w:val="6328597C"/>
    <w:rsid w:val="633B249F"/>
    <w:rsid w:val="633D1842"/>
    <w:rsid w:val="635123F0"/>
    <w:rsid w:val="63552D76"/>
    <w:rsid w:val="6359778B"/>
    <w:rsid w:val="635B63E3"/>
    <w:rsid w:val="63647BC4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2A4801"/>
    <w:rsid w:val="64304E58"/>
    <w:rsid w:val="64311867"/>
    <w:rsid w:val="64391ED3"/>
    <w:rsid w:val="643E1E36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70BF7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B5642"/>
    <w:rsid w:val="670C6D27"/>
    <w:rsid w:val="670D67CE"/>
    <w:rsid w:val="670F37DF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03000"/>
    <w:rsid w:val="67D1123C"/>
    <w:rsid w:val="67DE0B68"/>
    <w:rsid w:val="67E60B93"/>
    <w:rsid w:val="67F45538"/>
    <w:rsid w:val="67F67092"/>
    <w:rsid w:val="68005932"/>
    <w:rsid w:val="680239EB"/>
    <w:rsid w:val="680722DA"/>
    <w:rsid w:val="68075891"/>
    <w:rsid w:val="68096B99"/>
    <w:rsid w:val="681C6C95"/>
    <w:rsid w:val="68216677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36C60"/>
    <w:rsid w:val="6B09696B"/>
    <w:rsid w:val="6B106FC5"/>
    <w:rsid w:val="6B1A1DAE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C5D8F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30AB3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3608C"/>
    <w:rsid w:val="6D9E0566"/>
    <w:rsid w:val="6DBE7F27"/>
    <w:rsid w:val="6DC262E7"/>
    <w:rsid w:val="6DD70DD8"/>
    <w:rsid w:val="6DED1766"/>
    <w:rsid w:val="6DF43BD4"/>
    <w:rsid w:val="6E0E1FAB"/>
    <w:rsid w:val="6E162584"/>
    <w:rsid w:val="6E2143FB"/>
    <w:rsid w:val="6E295363"/>
    <w:rsid w:val="6E2C13C6"/>
    <w:rsid w:val="6E317378"/>
    <w:rsid w:val="6E3A4724"/>
    <w:rsid w:val="6E3E5591"/>
    <w:rsid w:val="6E4215C6"/>
    <w:rsid w:val="6E4B0158"/>
    <w:rsid w:val="6E4D611F"/>
    <w:rsid w:val="6E567C9E"/>
    <w:rsid w:val="6E5C1FF2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DB58AF"/>
    <w:rsid w:val="6FE529ED"/>
    <w:rsid w:val="6FF733A7"/>
    <w:rsid w:val="70003DD9"/>
    <w:rsid w:val="70072915"/>
    <w:rsid w:val="70172090"/>
    <w:rsid w:val="70195E88"/>
    <w:rsid w:val="701D43BA"/>
    <w:rsid w:val="70216162"/>
    <w:rsid w:val="70283564"/>
    <w:rsid w:val="70291C03"/>
    <w:rsid w:val="702B6F43"/>
    <w:rsid w:val="7032079E"/>
    <w:rsid w:val="703C186A"/>
    <w:rsid w:val="703F34A5"/>
    <w:rsid w:val="704C34F0"/>
    <w:rsid w:val="70570007"/>
    <w:rsid w:val="705843B4"/>
    <w:rsid w:val="7058635C"/>
    <w:rsid w:val="705E0563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649D8"/>
    <w:rsid w:val="71B84778"/>
    <w:rsid w:val="71C17B7E"/>
    <w:rsid w:val="71C7540C"/>
    <w:rsid w:val="71E857A5"/>
    <w:rsid w:val="71F64A63"/>
    <w:rsid w:val="71F870B8"/>
    <w:rsid w:val="71F9130C"/>
    <w:rsid w:val="71FF3215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E5396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D5F47"/>
    <w:rsid w:val="763E6F8E"/>
    <w:rsid w:val="76425118"/>
    <w:rsid w:val="76465A5C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15620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63C40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4509E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C18C3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0F4487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4C5459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796A43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00FA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17348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346D7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14AFC"/>
    <w:rsid w:val="7F1B0865"/>
    <w:rsid w:val="7F271AA3"/>
    <w:rsid w:val="7F354370"/>
    <w:rsid w:val="7F397345"/>
    <w:rsid w:val="7F4D1868"/>
    <w:rsid w:val="7F4D3BF2"/>
    <w:rsid w:val="7F542B37"/>
    <w:rsid w:val="7F57085D"/>
    <w:rsid w:val="7F572178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70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3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58"/>
    <w:next w:val="58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58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59">
    <w:name w:val="TAC"/>
    <w:basedOn w:val="60"/>
    <w:link w:val="68"/>
    <w:qFormat/>
    <w:uiPriority w:val="0"/>
    <w:pPr>
      <w:jc w:val="center"/>
    </w:pPr>
  </w:style>
  <w:style w:type="paragraph" w:customStyle="1" w:styleId="60">
    <w:name w:val="TAL"/>
    <w:basedOn w:val="1"/>
    <w:link w:val="69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character" w:customStyle="1" w:styleId="63">
    <w:name w:val="B1 Char1"/>
    <w:link w:val="48"/>
    <w:qFormat/>
    <w:uiPriority w:val="0"/>
    <w:rPr>
      <w:kern w:val="2"/>
      <w:sz w:val="21"/>
    </w:rPr>
  </w:style>
  <w:style w:type="character" w:customStyle="1" w:styleId="64">
    <w:name w:val="NO Char"/>
    <w:link w:val="65"/>
    <w:qFormat/>
    <w:uiPriority w:val="0"/>
    <w:rPr>
      <w:lang w:val="en-GB" w:eastAsia="en-US"/>
    </w:rPr>
  </w:style>
  <w:style w:type="paragraph" w:customStyle="1" w:styleId="65">
    <w:name w:val="NO"/>
    <w:basedOn w:val="1"/>
    <w:link w:val="64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6">
    <w:name w:val="TAH Car"/>
    <w:link w:val="6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7">
    <w:name w:val="TAH"/>
    <w:basedOn w:val="59"/>
    <w:link w:val="66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8">
    <w:name w:val="TAC Char"/>
    <w:link w:val="59"/>
    <w:qFormat/>
    <w:locked/>
    <w:uiPriority w:val="0"/>
    <w:rPr>
      <w:rFonts w:ascii="Arial" w:hAnsi="Arial"/>
      <w:kern w:val="2"/>
      <w:sz w:val="18"/>
    </w:rPr>
  </w:style>
  <w:style w:type="character" w:customStyle="1" w:styleId="69">
    <w:name w:val="TAL Car"/>
    <w:link w:val="60"/>
    <w:qFormat/>
    <w:uiPriority w:val="0"/>
    <w:rPr>
      <w:rFonts w:ascii="Arial" w:hAnsi="Arial"/>
      <w:kern w:val="2"/>
      <w:sz w:val="18"/>
    </w:rPr>
  </w:style>
  <w:style w:type="character" w:customStyle="1" w:styleId="70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2">
    <w:name w:val="TAN"/>
    <w:basedOn w:val="60"/>
    <w:qFormat/>
    <w:uiPriority w:val="0"/>
    <w:pPr>
      <w:ind w:left="851" w:hanging="851"/>
    </w:pPr>
  </w:style>
  <w:style w:type="character" w:customStyle="1" w:styleId="73">
    <w:name w:val="font4"/>
    <w:basedOn w:val="26"/>
    <w:qFormat/>
    <w:uiPriority w:val="0"/>
  </w:style>
  <w:style w:type="paragraph" w:customStyle="1" w:styleId="74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6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7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8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9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80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1">
    <w:name w:val="网格型1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">
    <w:name w:val="网格型2"/>
    <w:basedOn w:val="2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3">
    <w:name w:val="TF"/>
    <w:basedOn w:val="57"/>
    <w:qFormat/>
    <w:uiPriority w:val="0"/>
    <w:pPr>
      <w:keepNext w:val="0"/>
      <w:spacing w:before="0" w:after="240"/>
    </w:pPr>
  </w:style>
  <w:style w:type="paragraph" w:customStyle="1" w:styleId="84">
    <w:name w:val="3GPP Normal Text"/>
    <w:basedOn w:val="12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3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2025-02-07T08:00:16Z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CE4ED39A37C24798B8117CA2B99C5A91</vt:lpwstr>
  </property>
</Properties>
</file>